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387AD">
      <w:pPr>
        <w:pStyle w:val="4"/>
        <w:numPr>
          <w:ilvl w:val="0"/>
          <w:numId w:val="0"/>
        </w:numPr>
        <w:bidi w:val="0"/>
        <w:jc w:val="center"/>
        <w:rPr>
          <w:rFonts w:hint="default" w:ascii="Arial" w:hAnsi="Arial" w:cs="Arial"/>
          <w:b/>
          <w:bCs/>
          <w:sz w:val="28"/>
          <w:szCs w:val="28"/>
          <w:u w:val="single"/>
          <w:lang w:val="en-US"/>
        </w:rPr>
      </w:pPr>
      <w:r>
        <w:rPr>
          <w:rFonts w:hint="default" w:ascii="Arial" w:hAnsi="Arial" w:cs="Arial"/>
          <w:b/>
          <w:bCs/>
          <w:sz w:val="28"/>
          <w:szCs w:val="28"/>
          <w:u w:val="single"/>
          <w:lang w:val="en-US"/>
        </w:rPr>
        <w:t>Answers</w:t>
      </w:r>
    </w:p>
    <w:p w14:paraId="4A671569">
      <w:pPr>
        <w:pStyle w:val="4"/>
        <w:numPr>
          <w:ilvl w:val="0"/>
          <w:numId w:val="0"/>
        </w:numPr>
        <w:bidi w:val="0"/>
        <w:jc w:val="center"/>
        <w:rPr>
          <w:rFonts w:hint="default" w:ascii="Arial" w:hAnsi="Arial" w:cs="Arial"/>
          <w:b/>
          <w:bCs/>
          <w:sz w:val="28"/>
          <w:szCs w:val="28"/>
          <w:u w:val="single"/>
          <w:lang w:val="en-US"/>
        </w:rPr>
      </w:pPr>
    </w:p>
    <w:p w14:paraId="12C10F42">
      <w:pPr>
        <w:pStyle w:val="4"/>
        <w:bidi w:val="0"/>
        <w:jc w:val="both"/>
        <w:rPr>
          <w:rFonts w:hint="default" w:ascii="Arial" w:hAnsi="Arial" w:cs="Arial"/>
          <w:sz w:val="26"/>
          <w:szCs w:val="26"/>
        </w:rPr>
      </w:pPr>
      <w:r>
        <w:rPr>
          <w:rFonts w:hint="default" w:ascii="Arial" w:hAnsi="Arial" w:cs="Arial"/>
          <w:sz w:val="26"/>
          <w:szCs w:val="26"/>
          <w:lang w:val="en-US"/>
        </w:rPr>
        <w:t xml:space="preserve">1 </w:t>
      </w:r>
      <w:r>
        <w:rPr>
          <w:rFonts w:hint="default" w:ascii="Arial" w:hAnsi="Arial" w:cs="Arial"/>
          <w:sz w:val="26"/>
          <w:szCs w:val="26"/>
        </w:rPr>
        <w:t>A: The primary goal is to increase the conversion rate from cold leads to enrollments, aiming for a 1% conversion rate by December 31, 2024. This involves moving prospects through the sales funnel from awareness to action (enrollment).</w:t>
      </w:r>
    </w:p>
    <w:p w14:paraId="59131A45">
      <w:pPr>
        <w:pStyle w:val="4"/>
        <w:bidi w:val="0"/>
        <w:jc w:val="both"/>
        <w:rPr>
          <w:rFonts w:hint="default" w:ascii="Arial" w:hAnsi="Arial" w:cs="Arial"/>
          <w:sz w:val="26"/>
          <w:szCs w:val="26"/>
        </w:rPr>
      </w:pPr>
    </w:p>
    <w:p w14:paraId="20D28AB9">
      <w:pPr>
        <w:pStyle w:val="4"/>
        <w:bidi w:val="0"/>
        <w:jc w:val="both"/>
        <w:rPr>
          <w:rFonts w:hint="default" w:ascii="Arial" w:hAnsi="Arial" w:cs="Arial"/>
          <w:sz w:val="26"/>
          <w:szCs w:val="26"/>
        </w:rPr>
      </w:pPr>
      <w:r>
        <w:rPr>
          <w:rFonts w:hint="default" w:ascii="Arial" w:hAnsi="Arial" w:cs="Arial"/>
          <w:sz w:val="26"/>
          <w:szCs w:val="26"/>
          <w:lang w:val="en-US"/>
        </w:rPr>
        <w:t xml:space="preserve">2 </w:t>
      </w:r>
      <w:r>
        <w:rPr>
          <w:rFonts w:hint="default" w:ascii="Arial" w:hAnsi="Arial" w:cs="Arial"/>
          <w:sz w:val="26"/>
          <w:szCs w:val="26"/>
        </w:rPr>
        <w:t>A: The document outlines several key personas, including teachers seeking better pay and career growth, bankers seeking analytical roles, sales professionals desiring more stability, and individuals from various other fields (insurance, healthcare, HR, retail, BPO/KPO) looking to transition into the IT industry via Business Analyst roles. Each persona has specific pain points and motivations.</w:t>
      </w:r>
    </w:p>
    <w:p w14:paraId="6F232BF9">
      <w:pPr>
        <w:rPr>
          <w:rFonts w:hint="default" w:ascii="Arial" w:hAnsi="Arial" w:cs="Arial"/>
          <w:sz w:val="26"/>
          <w:szCs w:val="26"/>
        </w:rPr>
      </w:pPr>
    </w:p>
    <w:p w14:paraId="516ADE83">
      <w:pPr>
        <w:pStyle w:val="4"/>
        <w:bidi w:val="0"/>
        <w:jc w:val="both"/>
        <w:rPr>
          <w:rFonts w:hint="default" w:ascii="Arial" w:hAnsi="Arial" w:cs="Arial"/>
          <w:sz w:val="26"/>
          <w:szCs w:val="26"/>
        </w:rPr>
      </w:pPr>
      <w:r>
        <w:rPr>
          <w:rFonts w:hint="default" w:ascii="Arial" w:hAnsi="Arial" w:cs="Arial"/>
          <w:sz w:val="26"/>
          <w:szCs w:val="26"/>
          <w:lang w:val="en-US"/>
        </w:rPr>
        <w:t xml:space="preserve">3 </w:t>
      </w:r>
      <w:r>
        <w:rPr>
          <w:rFonts w:hint="default" w:ascii="Arial" w:hAnsi="Arial" w:cs="Arial"/>
          <w:sz w:val="26"/>
          <w:szCs w:val="26"/>
        </w:rPr>
        <w:t>A: COEPD uses a multi-channel approach including social media marketing (Facebook, LinkedIn, Instagram, Telegram, WhatsApp), email marketing (Mailchimp, SendGrid, Zoho Campaigns, HubSpot, Bravo, Constant Contact), content marketing (blog posts, videos, quizzes), and paid advertising (Google Ads, Facebook Ads, LinkedIn Ads).</w:t>
      </w:r>
    </w:p>
    <w:p w14:paraId="6C42BCF3">
      <w:pPr>
        <w:rPr>
          <w:rFonts w:hint="default" w:ascii="Arial" w:hAnsi="Arial" w:cs="Arial"/>
          <w:sz w:val="26"/>
          <w:szCs w:val="26"/>
        </w:rPr>
      </w:pPr>
    </w:p>
    <w:p w14:paraId="7635C2CC">
      <w:pPr>
        <w:rPr>
          <w:rFonts w:hint="default" w:ascii="Arial" w:hAnsi="Arial" w:cs="Arial"/>
          <w:sz w:val="26"/>
          <w:szCs w:val="26"/>
        </w:rPr>
      </w:pPr>
      <w:r>
        <w:rPr>
          <w:rFonts w:hint="default" w:ascii="Arial" w:hAnsi="Arial" w:cs="Arial"/>
          <w:sz w:val="26"/>
          <w:szCs w:val="26"/>
          <w:lang w:val="en-US"/>
        </w:rPr>
        <w:t xml:space="preserve">4 </w:t>
      </w:r>
      <w:r>
        <w:rPr>
          <w:rFonts w:hint="default" w:ascii="Arial" w:hAnsi="Arial" w:cs="Arial"/>
          <w:sz w:val="26"/>
          <w:szCs w:val="26"/>
        </w:rPr>
        <w:t>A: The email marketing strategy targets 2500 emails per day. It uses three main email sequences: a welcome sequence for awareness, nurturing emails to build interest and desire (highlighting placements, job offers, and salary hikes), and promotional emails offering discounts and batch details.</w:t>
      </w:r>
    </w:p>
    <w:p w14:paraId="6CED90A9">
      <w:pPr>
        <w:rPr>
          <w:rFonts w:hint="default" w:ascii="Arial" w:hAnsi="Arial" w:cs="Arial"/>
          <w:sz w:val="26"/>
          <w:szCs w:val="26"/>
        </w:rPr>
      </w:pPr>
    </w:p>
    <w:p w14:paraId="25A729A9">
      <w:pPr>
        <w:pStyle w:val="4"/>
        <w:bidi w:val="0"/>
        <w:jc w:val="both"/>
        <w:rPr>
          <w:rFonts w:hint="default" w:ascii="Arial" w:hAnsi="Arial" w:cs="Arial"/>
          <w:sz w:val="26"/>
          <w:szCs w:val="26"/>
        </w:rPr>
      </w:pPr>
      <w:r>
        <w:rPr>
          <w:rFonts w:hint="default" w:ascii="Arial" w:hAnsi="Arial" w:cs="Arial"/>
          <w:sz w:val="26"/>
          <w:szCs w:val="26"/>
          <w:lang w:val="en-US"/>
        </w:rPr>
        <w:t xml:space="preserve">5 </w:t>
      </w:r>
      <w:r>
        <w:rPr>
          <w:rFonts w:hint="default" w:ascii="Arial" w:hAnsi="Arial" w:cs="Arial"/>
          <w:sz w:val="26"/>
          <w:szCs w:val="26"/>
        </w:rPr>
        <w:t>A: Lead magnets include ebooks (BA syllabus, job market trends, sample resumes, steps to become a BA, interview checklist), daily demo webinars, checklists, and templates (although specifics on checklists and templates are not detailed).</w:t>
      </w:r>
    </w:p>
    <w:p w14:paraId="27D3B6DC">
      <w:pPr>
        <w:rPr>
          <w:rFonts w:hint="default" w:ascii="Arial" w:hAnsi="Arial" w:cs="Arial"/>
          <w:sz w:val="26"/>
          <w:szCs w:val="26"/>
        </w:rPr>
      </w:pPr>
    </w:p>
    <w:p w14:paraId="42733F7B">
      <w:pPr>
        <w:rPr>
          <w:rFonts w:hint="default" w:ascii="Arial" w:hAnsi="Arial" w:cs="Arial"/>
          <w:sz w:val="26"/>
          <w:szCs w:val="26"/>
        </w:rPr>
      </w:pPr>
      <w:r>
        <w:rPr>
          <w:rFonts w:hint="default" w:ascii="Arial" w:hAnsi="Arial" w:cs="Arial"/>
          <w:sz w:val="26"/>
          <w:szCs w:val="26"/>
          <w:lang w:val="en-US"/>
        </w:rPr>
        <w:t xml:space="preserve">6 </w:t>
      </w:r>
      <w:r>
        <w:rPr>
          <w:rFonts w:hint="default" w:ascii="Arial" w:hAnsi="Arial" w:cs="Arial"/>
          <w:sz w:val="26"/>
          <w:szCs w:val="26"/>
        </w:rPr>
        <w:t>A: The landing page should feature a clear and regularly updated value proposition, a strong call to action (potentially with a countdown timer), and be optimized for conversions.</w:t>
      </w:r>
    </w:p>
    <w:p w14:paraId="2D1C2DB6">
      <w:pPr>
        <w:rPr>
          <w:rFonts w:hint="default" w:ascii="Arial" w:hAnsi="Arial" w:cs="Arial"/>
          <w:sz w:val="26"/>
          <w:szCs w:val="26"/>
        </w:rPr>
      </w:pPr>
    </w:p>
    <w:p w14:paraId="6860F481">
      <w:pPr>
        <w:pStyle w:val="4"/>
        <w:bidi w:val="0"/>
        <w:jc w:val="both"/>
        <w:rPr>
          <w:rFonts w:hint="default" w:ascii="Arial" w:hAnsi="Arial" w:cs="Arial"/>
          <w:sz w:val="26"/>
          <w:szCs w:val="26"/>
        </w:rPr>
      </w:pPr>
      <w:r>
        <w:rPr>
          <w:rFonts w:hint="default" w:ascii="Arial" w:hAnsi="Arial" w:cs="Arial"/>
          <w:sz w:val="26"/>
          <w:szCs w:val="26"/>
          <w:lang w:val="en-US"/>
        </w:rPr>
        <w:t xml:space="preserve">7 </w:t>
      </w:r>
      <w:r>
        <w:rPr>
          <w:rFonts w:hint="default" w:ascii="Arial" w:hAnsi="Arial" w:cs="Arial"/>
          <w:sz w:val="26"/>
          <w:szCs w:val="26"/>
        </w:rPr>
        <w:t>A: Key performance indicators (KPIs) include conversion rates (from cold, warm, and hot leads to joinings), Customer Acquisition Cost (CAC), and Customer Lifetime Value (CLTV).</w:t>
      </w:r>
    </w:p>
    <w:p w14:paraId="4C881AF9">
      <w:pPr>
        <w:rPr>
          <w:rFonts w:hint="default" w:ascii="Arial" w:hAnsi="Arial" w:cs="Arial"/>
          <w:sz w:val="26"/>
          <w:szCs w:val="26"/>
        </w:rPr>
      </w:pPr>
    </w:p>
    <w:p w14:paraId="3FDE600F">
      <w:pPr>
        <w:pStyle w:val="4"/>
        <w:bidi w:val="0"/>
        <w:jc w:val="both"/>
        <w:rPr>
          <w:rFonts w:hint="default" w:ascii="Arial" w:hAnsi="Arial" w:cs="Arial"/>
          <w:sz w:val="26"/>
          <w:szCs w:val="26"/>
        </w:rPr>
      </w:pPr>
      <w:r>
        <w:rPr>
          <w:rFonts w:hint="default" w:ascii="Arial" w:hAnsi="Arial" w:cs="Arial"/>
          <w:sz w:val="26"/>
          <w:szCs w:val="26"/>
          <w:lang w:val="en-US"/>
        </w:rPr>
        <w:t xml:space="preserve">8 </w:t>
      </w:r>
      <w:r>
        <w:rPr>
          <w:rFonts w:hint="default" w:ascii="Arial" w:hAnsi="Arial" w:cs="Arial"/>
          <w:sz w:val="26"/>
          <w:szCs w:val="26"/>
        </w:rPr>
        <w:t>A: The current conversion rate is 0.235%, with a target of 1% by December 31, 2024.</w:t>
      </w:r>
    </w:p>
    <w:p w14:paraId="6CCCB667">
      <w:pPr>
        <w:pStyle w:val="4"/>
        <w:bidi w:val="0"/>
        <w:jc w:val="both"/>
        <w:rPr>
          <w:rFonts w:hint="default" w:ascii="Arial" w:hAnsi="Arial" w:cs="Arial"/>
          <w:sz w:val="26"/>
          <w:szCs w:val="26"/>
        </w:rPr>
      </w:pPr>
    </w:p>
    <w:p w14:paraId="5D2691AD">
      <w:pPr>
        <w:pStyle w:val="4"/>
        <w:bidi w:val="0"/>
        <w:jc w:val="both"/>
        <w:rPr>
          <w:rFonts w:hint="default" w:ascii="Arial" w:hAnsi="Arial" w:cs="Arial"/>
          <w:sz w:val="26"/>
          <w:szCs w:val="26"/>
        </w:rPr>
      </w:pPr>
      <w:r>
        <w:rPr>
          <w:rFonts w:hint="default" w:ascii="Arial" w:hAnsi="Arial" w:cs="Arial"/>
          <w:sz w:val="26"/>
          <w:szCs w:val="26"/>
          <w:lang w:val="en-US"/>
        </w:rPr>
        <w:t xml:space="preserve">9 </w:t>
      </w:r>
      <w:r>
        <w:rPr>
          <w:rFonts w:hint="default" w:ascii="Arial" w:hAnsi="Arial" w:cs="Arial"/>
          <w:sz w:val="26"/>
          <w:szCs w:val="26"/>
        </w:rPr>
        <w:t>A: A/B testing of different marketing materials and continuous improvement through performance analysis and iterative adjustments are recommended.</w:t>
      </w:r>
    </w:p>
    <w:p w14:paraId="1F99EE5A">
      <w:pPr>
        <w:pStyle w:val="4"/>
        <w:bidi w:val="0"/>
        <w:jc w:val="both"/>
        <w:rPr>
          <w:rFonts w:hint="default" w:ascii="Arial" w:hAnsi="Arial" w:cs="Arial"/>
          <w:sz w:val="26"/>
          <w:szCs w:val="26"/>
        </w:rPr>
      </w:pPr>
    </w:p>
    <w:p w14:paraId="4C085F01">
      <w:pPr>
        <w:rPr>
          <w:rFonts w:hint="default" w:ascii="Arial" w:hAnsi="Arial" w:cs="Arial"/>
          <w:sz w:val="26"/>
          <w:szCs w:val="26"/>
        </w:rPr>
      </w:pPr>
    </w:p>
    <w:p w14:paraId="1C9B568F">
      <w:pPr>
        <w:pStyle w:val="4"/>
        <w:bidi w:val="0"/>
        <w:jc w:val="both"/>
        <w:rPr>
          <w:rFonts w:hint="default" w:ascii="Arial" w:hAnsi="Arial" w:cs="Arial"/>
          <w:sz w:val="26"/>
          <w:szCs w:val="26"/>
        </w:rPr>
      </w:pPr>
      <w:r>
        <w:rPr>
          <w:rFonts w:hint="default" w:ascii="Arial" w:hAnsi="Arial" w:cs="Arial"/>
          <w:sz w:val="26"/>
          <w:szCs w:val="26"/>
          <w:lang w:val="en-US"/>
        </w:rPr>
        <w:t xml:space="preserve">10 </w:t>
      </w:r>
      <w:r>
        <w:rPr>
          <w:rFonts w:hint="default" w:ascii="Arial" w:hAnsi="Arial" w:cs="Arial"/>
          <w:sz w:val="26"/>
          <w:szCs w:val="26"/>
        </w:rPr>
        <w:t>A: The current CAC is ₹10,000, and the target CAC is ₹5,000.</w:t>
      </w:r>
    </w:p>
    <w:p w14:paraId="357479CB">
      <w:bookmarkStart w:id="0" w:name="_GoBack"/>
      <w:bookmarkEnd w:id="0"/>
    </w:p>
    <w:sectPr>
      <w:pgSz w:w="11906" w:h="16838"/>
      <w:pgMar w:top="1213" w:right="1236" w:bottom="1213" w:left="157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F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heme="minorHAnsi" w:hAnsiTheme="minorHAnsi" w:eastAsiaTheme="minorEastAsia" w:cstheme="minorBidi"/>
      <w:sz w:val="22"/>
      <w:szCs w:val="22"/>
      <w:lang w:val="en-IN"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2024-12-14T10:50:36Z</dcterms:created>
  <dc:creator>PC</dc:creator>
  <cp:lastModifiedBy>chandrakanth rokkam</cp:lastModifiedBy>
  <dcterms:modified xsi:type="dcterms:W3CDTF">2024-12-14T10:50:52Z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D7C971804B424A348496A2D964212500_12</vt:lpwstr>
  </property>
</Properties>
</file>